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53121AA" w14:textId="77777777" w:rsidR="00D41F37" w:rsidRPr="00D41F37" w:rsidRDefault="00D41F37" w:rsidP="00D41F37">
      <w:pPr>
        <w:rPr>
          <w:sz w:val="24"/>
          <w:szCs w:val="24"/>
        </w:rPr>
      </w:pPr>
      <w:r w:rsidRPr="00D41F37">
        <w:rPr>
          <w:sz w:val="24"/>
          <w:szCs w:val="24"/>
        </w:rPr>
        <w:t xml:space="preserve">Submitted electronically via Regulations.gov </w:t>
      </w:r>
    </w:p>
    <w:p w14:paraId="58E55744" w14:textId="77777777" w:rsidR="00D41F37" w:rsidRPr="00D41F37" w:rsidRDefault="00D41F37" w:rsidP="00D41F37">
      <w:pPr>
        <w:rPr>
          <w:sz w:val="24"/>
          <w:szCs w:val="24"/>
        </w:rPr>
      </w:pPr>
      <w:r w:rsidRPr="00D41F37">
        <w:rPr>
          <w:sz w:val="24"/>
          <w:szCs w:val="24"/>
        </w:rPr>
        <w:t xml:space="preserve">Docket ID No. </w:t>
      </w:r>
      <w:bookmarkStart w:id="0" w:name="OLE_LINK3"/>
      <w:r w:rsidRPr="00D41F37">
        <w:rPr>
          <w:sz w:val="24"/>
          <w:szCs w:val="24"/>
        </w:rPr>
        <w:t>OMB-2026-0034</w:t>
      </w:r>
    </w:p>
    <w:bookmarkEnd w:id="0"/>
    <w:p w14:paraId="7151A3BE" w14:textId="77777777" w:rsidR="00D41F37" w:rsidRPr="00D41F37" w:rsidRDefault="00D41F37" w:rsidP="00D41F37">
      <w:pPr>
        <w:rPr>
          <w:sz w:val="24"/>
          <w:szCs w:val="24"/>
        </w:rPr>
      </w:pPr>
      <w:r w:rsidRPr="00D41F37">
        <w:rPr>
          <w:sz w:val="24"/>
          <w:szCs w:val="24"/>
        </w:rPr>
        <w:t>FR Doc. No. 2026-10817</w:t>
      </w:r>
    </w:p>
    <w:p w14:paraId="64039A45" w14:textId="77777777" w:rsidR="00D41F37" w:rsidRPr="00D41F37" w:rsidRDefault="00D41F37" w:rsidP="00D41F37">
      <w:pPr>
        <w:rPr>
          <w:sz w:val="24"/>
          <w:szCs w:val="24"/>
        </w:rPr>
      </w:pPr>
    </w:p>
    <w:p w14:paraId="794238A2" w14:textId="77777777" w:rsidR="00D41F37" w:rsidRPr="00D41F37" w:rsidRDefault="00D41F37" w:rsidP="00D41F37">
      <w:pPr>
        <w:rPr>
          <w:sz w:val="24"/>
          <w:szCs w:val="24"/>
        </w:rPr>
      </w:pPr>
    </w:p>
    <w:p w14:paraId="5D633152" w14:textId="7E1E76E5" w:rsidR="00D41F37" w:rsidRPr="00D41F37" w:rsidRDefault="00EF1602" w:rsidP="00D41F37">
      <w:pPr>
        <w:rPr>
          <w:sz w:val="24"/>
          <w:szCs w:val="24"/>
        </w:rPr>
      </w:pPr>
      <w:r>
        <w:rPr>
          <w:sz w:val="24"/>
          <w:szCs w:val="24"/>
        </w:rPr>
        <w:t>July 1, 2026</w:t>
      </w:r>
    </w:p>
    <w:p w14:paraId="41680502" w14:textId="77777777" w:rsidR="00D41F37" w:rsidRPr="00D41F37" w:rsidRDefault="00D41F37" w:rsidP="00D41F37">
      <w:pPr>
        <w:ind w:left="90"/>
        <w:rPr>
          <w:sz w:val="24"/>
          <w:szCs w:val="24"/>
        </w:rPr>
      </w:pPr>
    </w:p>
    <w:p w14:paraId="4E94FEFC" w14:textId="77777777" w:rsidR="00D41F37" w:rsidRPr="00D41F37" w:rsidRDefault="00D41F37" w:rsidP="00D41F37">
      <w:pPr>
        <w:rPr>
          <w:sz w:val="24"/>
          <w:szCs w:val="24"/>
        </w:rPr>
      </w:pPr>
      <w:r w:rsidRPr="00D41F37">
        <w:rPr>
          <w:sz w:val="24"/>
          <w:szCs w:val="24"/>
        </w:rPr>
        <w:t>Russell Vought, Director</w:t>
      </w:r>
    </w:p>
    <w:p w14:paraId="4506DA8B" w14:textId="77777777" w:rsidR="00D41F37" w:rsidRPr="00D41F37" w:rsidRDefault="00D41F37" w:rsidP="00D41F37">
      <w:pPr>
        <w:rPr>
          <w:sz w:val="24"/>
          <w:szCs w:val="24"/>
        </w:rPr>
      </w:pPr>
      <w:r w:rsidRPr="00D41F37">
        <w:rPr>
          <w:sz w:val="24"/>
          <w:szCs w:val="24"/>
        </w:rPr>
        <w:t>Office of Management and Budget</w:t>
      </w:r>
    </w:p>
    <w:p w14:paraId="32FAEDE6" w14:textId="77777777" w:rsidR="00D41F37" w:rsidRPr="00D41F37" w:rsidRDefault="00D41F37" w:rsidP="00D41F37">
      <w:pPr>
        <w:rPr>
          <w:sz w:val="24"/>
          <w:szCs w:val="24"/>
        </w:rPr>
      </w:pPr>
      <w:r w:rsidRPr="00D41F37">
        <w:rPr>
          <w:sz w:val="24"/>
          <w:szCs w:val="24"/>
        </w:rPr>
        <w:t>725 17th Street NW</w:t>
      </w:r>
    </w:p>
    <w:p w14:paraId="5F855D81" w14:textId="77777777" w:rsidR="00D41F37" w:rsidRPr="00D41F37" w:rsidRDefault="00D41F37" w:rsidP="00D41F37">
      <w:pPr>
        <w:rPr>
          <w:sz w:val="24"/>
          <w:szCs w:val="24"/>
        </w:rPr>
      </w:pPr>
      <w:r w:rsidRPr="00D41F37">
        <w:rPr>
          <w:sz w:val="24"/>
          <w:szCs w:val="24"/>
        </w:rPr>
        <w:t>Washington, DC 20503</w:t>
      </w:r>
    </w:p>
    <w:p w14:paraId="1A610C9C" w14:textId="77777777" w:rsidR="00D41F37" w:rsidRPr="00D41F37" w:rsidRDefault="00D41F37" w:rsidP="00D41F37">
      <w:pPr>
        <w:rPr>
          <w:sz w:val="24"/>
          <w:szCs w:val="24"/>
        </w:rPr>
      </w:pPr>
    </w:p>
    <w:p w14:paraId="182D81FC" w14:textId="77777777" w:rsidR="00D41F37" w:rsidRPr="00D41F37" w:rsidRDefault="00D41F37" w:rsidP="00D41F37">
      <w:pPr>
        <w:rPr>
          <w:sz w:val="24"/>
          <w:szCs w:val="24"/>
        </w:rPr>
      </w:pPr>
    </w:p>
    <w:p w14:paraId="24E054B3" w14:textId="15E314EB" w:rsidR="00D41F37" w:rsidRPr="00D41F37" w:rsidRDefault="00D41F37" w:rsidP="00D41F37">
      <w:pPr>
        <w:ind w:left="1440" w:hanging="1440"/>
        <w:rPr>
          <w:sz w:val="24"/>
          <w:szCs w:val="24"/>
        </w:rPr>
      </w:pPr>
      <w:r w:rsidRPr="00D41F37">
        <w:rPr>
          <w:sz w:val="24"/>
          <w:szCs w:val="24"/>
        </w:rPr>
        <w:t>RE:</w:t>
      </w:r>
      <w:r w:rsidR="00DF68A1">
        <w:rPr>
          <w:sz w:val="24"/>
          <w:szCs w:val="24"/>
        </w:rPr>
        <w:t xml:space="preserve">  </w:t>
      </w:r>
      <w:r w:rsidR="00DF68A1">
        <w:rPr>
          <w:sz w:val="24"/>
          <w:szCs w:val="24"/>
        </w:rPr>
        <w:tab/>
      </w:r>
      <w:r w:rsidRPr="00D41F37">
        <w:rPr>
          <w:sz w:val="24"/>
          <w:szCs w:val="24"/>
        </w:rPr>
        <w:t>eScholarship Publishing’s Comments on Proposed Rule, Regulation for Federal Financial</w:t>
      </w:r>
      <w:r w:rsidR="00DF68A1">
        <w:rPr>
          <w:sz w:val="24"/>
          <w:szCs w:val="24"/>
        </w:rPr>
        <w:t xml:space="preserve"> </w:t>
      </w:r>
      <w:r w:rsidRPr="00D41F37">
        <w:rPr>
          <w:sz w:val="24"/>
          <w:szCs w:val="24"/>
        </w:rPr>
        <w:t>Assistance, 91 Fed. Reg. 32198 (May 29, 2026)</w:t>
      </w:r>
    </w:p>
    <w:p w14:paraId="4D1E1AB0" w14:textId="77777777" w:rsidR="00D41F37" w:rsidRPr="00D41F37" w:rsidRDefault="00D41F37" w:rsidP="00D41F37">
      <w:pPr>
        <w:rPr>
          <w:sz w:val="24"/>
          <w:szCs w:val="24"/>
        </w:rPr>
      </w:pPr>
    </w:p>
    <w:p w14:paraId="16F2AC9B" w14:textId="77777777" w:rsidR="00D41F37" w:rsidRDefault="00D41F37" w:rsidP="00D41F37">
      <w:pPr>
        <w:rPr>
          <w:sz w:val="24"/>
          <w:szCs w:val="24"/>
        </w:rPr>
      </w:pPr>
      <w:r w:rsidRPr="00D41F37">
        <w:rPr>
          <w:sz w:val="24"/>
          <w:szCs w:val="24"/>
        </w:rPr>
        <w:t>Dear Director Vought:</w:t>
      </w:r>
    </w:p>
    <w:p w14:paraId="04168FBA" w14:textId="77777777" w:rsidR="00D41F37" w:rsidRDefault="00D41F37" w:rsidP="00D41F37">
      <w:pPr>
        <w:rPr>
          <w:sz w:val="24"/>
          <w:szCs w:val="24"/>
        </w:rPr>
      </w:pPr>
    </w:p>
    <w:p w14:paraId="1086AB43" w14:textId="77777777" w:rsidR="00D41F37" w:rsidRPr="00D41F37" w:rsidRDefault="00D41F37" w:rsidP="00D41F37">
      <w:pPr>
        <w:spacing w:after="160"/>
        <w:rPr>
          <w:sz w:val="24"/>
          <w:szCs w:val="24"/>
        </w:rPr>
      </w:pPr>
      <w:bookmarkStart w:id="1" w:name="OLE_LINK5"/>
      <w:r w:rsidRPr="00D41F37">
        <w:rPr>
          <w:color w:val="000000"/>
          <w:sz w:val="24"/>
          <w:szCs w:val="24"/>
        </w:rPr>
        <w:t>eScholarship Publishing at the California Digital Library (CDL) submits these comments in response to the proposed revisions to 2 CFR Part 200. eScholarship Publishing is an open access journal publishing program established in 2002 by the California Digital Library, a unit of the University of California (UC) Office of the President. eScholarship publishes over 85 academic journals focused primarily on humanities and social science disciplines. This library publishing program was designed from the beginning to ensure that academic research is made openly available to scholars and to the general public, reflecting UC’s obligation to ensure that taxpayers receive benefit – as patients, as citizens, as seekers of knowledge and information – from their investment in UC’s 10-campus system.</w:t>
      </w:r>
    </w:p>
    <w:p w14:paraId="1964DD58" w14:textId="77777777" w:rsidR="00D41F37" w:rsidRPr="00D41F37" w:rsidRDefault="00D41F37" w:rsidP="00D41F37">
      <w:pPr>
        <w:spacing w:before="240" w:after="240"/>
        <w:rPr>
          <w:sz w:val="24"/>
          <w:szCs w:val="24"/>
        </w:rPr>
      </w:pPr>
      <w:r w:rsidRPr="00D41F37">
        <w:rPr>
          <w:b/>
          <w:bCs/>
          <w:color w:val="000000"/>
          <w:sz w:val="24"/>
          <w:szCs w:val="24"/>
        </w:rPr>
        <w:t>Our comments are focused on specific provisions that would directly compromise the integrity of the federally-funded research landscape and federal public-access mandates that are intended to ensure broad access to the knowledge and discoveries generated through that research. </w:t>
      </w:r>
    </w:p>
    <w:bookmarkEnd w:id="1"/>
    <w:p w14:paraId="4D8C2EB1" w14:textId="77777777" w:rsidR="00D41F37" w:rsidRPr="00D41F37" w:rsidRDefault="00D41F37" w:rsidP="00D41F37">
      <w:pPr>
        <w:spacing w:before="240" w:after="240"/>
        <w:textAlignment w:val="baseline"/>
        <w:rPr>
          <w:b/>
          <w:bCs/>
          <w:color w:val="000000"/>
          <w:sz w:val="24"/>
          <w:szCs w:val="24"/>
        </w:rPr>
      </w:pPr>
      <w:r w:rsidRPr="00D41F37">
        <w:rPr>
          <w:b/>
          <w:bCs/>
          <w:color w:val="000000"/>
          <w:sz w:val="24"/>
          <w:szCs w:val="24"/>
        </w:rPr>
        <w:t>1. (§§ 200.101, 200.106, 200.110) Concern Regarding Converting the Uniform Guidance into Binding Government-Wide Regulation</w:t>
      </w:r>
    </w:p>
    <w:p w14:paraId="15E81F36" w14:textId="77777777" w:rsidR="00D41F37" w:rsidRPr="00D41F37" w:rsidRDefault="00D41F37" w:rsidP="00D41F37">
      <w:pPr>
        <w:spacing w:after="160"/>
        <w:rPr>
          <w:sz w:val="24"/>
          <w:szCs w:val="24"/>
        </w:rPr>
      </w:pPr>
      <w:r w:rsidRPr="00D41F37">
        <w:rPr>
          <w:color w:val="000000"/>
          <w:sz w:val="24"/>
          <w:szCs w:val="24"/>
          <w:shd w:val="clear" w:color="auto" w:fill="FFFFFF"/>
        </w:rPr>
        <w:t>We wish to specifically highlight the proposed structural revision to the Uniform Guidance that would transform 2 CFR Part 200 from government-wide guidance into binding OMB regulation with government-wide applicability. This represents a fundamental change in the role of the Uniform Guidance. </w:t>
      </w:r>
    </w:p>
    <w:p w14:paraId="0502051B" w14:textId="77777777" w:rsidR="00D41F37" w:rsidRPr="00D41F37" w:rsidRDefault="00D41F37" w:rsidP="00D41F37">
      <w:pPr>
        <w:spacing w:after="160"/>
        <w:rPr>
          <w:sz w:val="24"/>
          <w:szCs w:val="24"/>
        </w:rPr>
      </w:pPr>
      <w:r w:rsidRPr="00D41F37">
        <w:rPr>
          <w:color w:val="000000"/>
          <w:sz w:val="24"/>
          <w:szCs w:val="24"/>
          <w:shd w:val="clear" w:color="auto" w:fill="FFFFFF"/>
        </w:rPr>
        <w:lastRenderedPageBreak/>
        <w:t>Historically, agencies have exercised discretion in implementing OMB's guidance in ways that reflect their statutory authorities, programmatic needs, and the expertise of the communities they oversee. By converting the Uniform Guidance into directly binding regulation applicable across the federal government, the proposal would substantially limit agencies' ability to tailor implementation to the unique needs of their sectors and to incorporate input from subject-matter experts and stakeholders. As a result, any problematic provisions adopted through this rulemaking would have broad, government-wide consequences, magnifying their potential impact on federally funded research and the Americans who benefit from the scientific advances, innovations, and public health improvements that such research supports. OMB should preserve agencies' ability to determine how Uniform Guidance policies are implemented within their respective programs, consistent with their statutory responsibilities and the needs of the research enterprise. We, therefore, urge OMB not to adopt the changes proposed in §§ 200.101, 200.106, and 200.110.</w:t>
      </w:r>
    </w:p>
    <w:p w14:paraId="398A8FE9" w14:textId="77777777" w:rsidR="00D41F37" w:rsidRPr="00D41F37" w:rsidRDefault="00D41F37" w:rsidP="00D41F37">
      <w:pPr>
        <w:spacing w:after="160"/>
        <w:rPr>
          <w:sz w:val="24"/>
          <w:szCs w:val="24"/>
        </w:rPr>
      </w:pPr>
      <w:r w:rsidRPr="00D41F37">
        <w:rPr>
          <w:b/>
          <w:bCs/>
          <w:color w:val="000000"/>
          <w:sz w:val="24"/>
          <w:szCs w:val="24"/>
        </w:rPr>
        <w:t>Our comments focus on the provisions by section number below.</w:t>
      </w:r>
    </w:p>
    <w:p w14:paraId="13BFB2D7" w14:textId="77777777" w:rsidR="00D41F37" w:rsidRPr="00D41F37" w:rsidRDefault="00D41F37" w:rsidP="00D41F37">
      <w:pPr>
        <w:spacing w:before="240" w:after="240"/>
        <w:rPr>
          <w:sz w:val="24"/>
          <w:szCs w:val="24"/>
        </w:rPr>
      </w:pPr>
      <w:r w:rsidRPr="00D41F37">
        <w:rPr>
          <w:b/>
          <w:bCs/>
          <w:color w:val="000000"/>
          <w:sz w:val="24"/>
          <w:szCs w:val="24"/>
        </w:rPr>
        <w:t>2. (§200.205) Political pre-issuance review substitutes ideology for expertise in award decisions. </w:t>
      </w:r>
    </w:p>
    <w:p w14:paraId="3C3CA9BD" w14:textId="3A63BFBC" w:rsidR="00D41F37" w:rsidRPr="00D41F37" w:rsidRDefault="00D41F37" w:rsidP="00D41F37">
      <w:pPr>
        <w:spacing w:after="160"/>
        <w:rPr>
          <w:sz w:val="24"/>
          <w:szCs w:val="24"/>
        </w:rPr>
      </w:pPr>
      <w:r w:rsidRPr="00D41F37">
        <w:rPr>
          <w:color w:val="000000"/>
          <w:sz w:val="24"/>
          <w:szCs w:val="24"/>
        </w:rPr>
        <w:t>The proposed changes to §200.205directly dismantle the long-proven, merit-based system that NSF, NIH, and nearly every science agency has used since World War II. </w:t>
      </w:r>
    </w:p>
    <w:p w14:paraId="7E488402" w14:textId="77777777" w:rsidR="00D41F37" w:rsidRPr="00D41F37" w:rsidRDefault="00D41F37" w:rsidP="00D41F37">
      <w:pPr>
        <w:spacing w:after="160"/>
        <w:rPr>
          <w:sz w:val="24"/>
          <w:szCs w:val="24"/>
        </w:rPr>
      </w:pPr>
      <w:r w:rsidRPr="00D41F37">
        <w:rPr>
          <w:color w:val="000000"/>
          <w:sz w:val="24"/>
          <w:szCs w:val="24"/>
        </w:rPr>
        <w:t>For over half a century, Congress and federal research agencies have relied on expert peer review to evaluate grant applications and identify the most meritorious research projects for federal funding. This system recognizes that subject-matter experts are best positioned to assess scientific merit, technical feasibility, and the potential impact of proposed research, and it has long been the cornerstone of the federal research enterprise. </w:t>
      </w:r>
    </w:p>
    <w:p w14:paraId="3EFD4473" w14:textId="77777777" w:rsidR="00D41F37" w:rsidRPr="00D41F37" w:rsidRDefault="00D41F37" w:rsidP="00D41F37">
      <w:pPr>
        <w:spacing w:after="160"/>
        <w:rPr>
          <w:sz w:val="24"/>
          <w:szCs w:val="24"/>
        </w:rPr>
      </w:pPr>
      <w:r w:rsidRPr="00D41F37">
        <w:rPr>
          <w:color w:val="000000"/>
          <w:sz w:val="24"/>
          <w:szCs w:val="24"/>
        </w:rPr>
        <w:t>This new provision would require that senior political appointees personally review every discretionary award before it is made and furthermore forbids deference to expert peer review for the purpose of identifying research projects worthy of funding. Instead, these appointees are empowered to block awards that include topics deemed to conflict with the President's policy priorities. In basing its funding activities on a traditional peer review model, Congress has recognized and reinforced the determination that expert evaluation produces better outcomes than shifting political priorities, and helps ensure that scientific research remains non-partisan and of benefit to all citizens of the United States.  Requiring political appointees to review every award threatens the integrity of a scientific record driven by data and accountability, and will likely cause disruption and discontinuity with every new administration.</w:t>
      </w:r>
    </w:p>
    <w:p w14:paraId="1537D60F" w14:textId="77777777" w:rsidR="00D41F37" w:rsidRPr="00D41F37" w:rsidRDefault="00D41F37" w:rsidP="00D41F37">
      <w:pPr>
        <w:spacing w:after="160"/>
        <w:rPr>
          <w:sz w:val="24"/>
          <w:szCs w:val="24"/>
        </w:rPr>
      </w:pPr>
      <w:r w:rsidRPr="00D41F37">
        <w:rPr>
          <w:color w:val="000000"/>
          <w:sz w:val="24"/>
          <w:szCs w:val="24"/>
        </w:rPr>
        <w:t xml:space="preserve">We urge OMB to withdraw the proposed revisions at </w:t>
      </w:r>
      <w:r w:rsidRPr="00D41F37">
        <w:rPr>
          <w:b/>
          <w:bCs/>
          <w:color w:val="000000"/>
          <w:sz w:val="24"/>
          <w:szCs w:val="24"/>
        </w:rPr>
        <w:t>§200.205</w:t>
      </w:r>
      <w:r w:rsidRPr="00D41F37">
        <w:rPr>
          <w:color w:val="000000"/>
          <w:sz w:val="24"/>
          <w:szCs w:val="24"/>
        </w:rPr>
        <w:t xml:space="preserve"> and restore peer review as the primary measure of scientific merit as Congress envisioned.</w:t>
      </w:r>
    </w:p>
    <w:p w14:paraId="1A1BAE9B" w14:textId="77777777" w:rsidR="00D41F37" w:rsidRPr="00D41F37" w:rsidRDefault="00D41F37" w:rsidP="00D41F37">
      <w:pPr>
        <w:spacing w:after="160"/>
        <w:rPr>
          <w:sz w:val="24"/>
          <w:szCs w:val="24"/>
        </w:rPr>
      </w:pPr>
      <w:r w:rsidRPr="00D41F37">
        <w:rPr>
          <w:b/>
          <w:bCs/>
          <w:color w:val="000000"/>
          <w:sz w:val="24"/>
          <w:szCs w:val="24"/>
        </w:rPr>
        <w:t>2.</w:t>
      </w:r>
      <w:r w:rsidRPr="00D41F37">
        <w:rPr>
          <w:color w:val="000000"/>
          <w:sz w:val="24"/>
          <w:szCs w:val="24"/>
        </w:rPr>
        <w:t xml:space="preserve"> </w:t>
      </w:r>
      <w:r w:rsidRPr="00D41F37">
        <w:rPr>
          <w:b/>
          <w:bCs/>
          <w:color w:val="000000"/>
          <w:sz w:val="24"/>
          <w:szCs w:val="24"/>
        </w:rPr>
        <w:t>(§200.340) Discretionary termination would undermine the stability of federally-funded research projects.</w:t>
      </w:r>
    </w:p>
    <w:p w14:paraId="330629C8" w14:textId="77777777" w:rsidR="00D41F37" w:rsidRPr="00D41F37" w:rsidRDefault="00D41F37" w:rsidP="00D41F37">
      <w:pPr>
        <w:spacing w:after="160"/>
        <w:rPr>
          <w:sz w:val="24"/>
          <w:szCs w:val="24"/>
        </w:rPr>
      </w:pPr>
      <w:r w:rsidRPr="00D41F37">
        <w:rPr>
          <w:color w:val="000000"/>
          <w:sz w:val="24"/>
          <w:szCs w:val="24"/>
        </w:rPr>
        <w:t>The proposed revisions to § 200.340 would expand agencies' authority to terminate Federal awards by permitting termination when an agency determines that doing so is "in the interest of the Federal agency," including where it concludes that an award no longer effectuates "program goals, Federal agency priorities, or the national interest as they exist at the time of the termination." Unlike existing termination authorities, this standard is not tied to recipient noncompliance, failure to perform, or other deficiencies in the conduct of the award. This represents a significant departure from the longstanding framework governing federally funded research awards. </w:t>
      </w:r>
    </w:p>
    <w:p w14:paraId="0E7D9D59" w14:textId="77777777" w:rsidR="00D41F37" w:rsidRPr="00D41F37" w:rsidRDefault="00D41F37" w:rsidP="00D41F37">
      <w:pPr>
        <w:spacing w:after="160"/>
        <w:rPr>
          <w:sz w:val="24"/>
          <w:szCs w:val="24"/>
        </w:rPr>
      </w:pPr>
      <w:r w:rsidRPr="00D41F37">
        <w:rPr>
          <w:color w:val="000000"/>
          <w:sz w:val="24"/>
          <w:szCs w:val="24"/>
        </w:rPr>
        <w:lastRenderedPageBreak/>
        <w:t>It is important to recognize that research grants are not ordinary procurement contracts for the acquisition of goods or services. Rather, they are financial assistance awards intended to support investigator-driven research in furtherance of statutory public purposes. Because research outcomes are inherently uncertain and often emerge over extended periods, broad termination authority untethered from recipient performance or compliance creates substantial uncertainty for the research enterprise and risks disrupting projects that Congress has authorized agencies to support through competitive, merit-based funding.</w:t>
      </w:r>
    </w:p>
    <w:p w14:paraId="040A21F3" w14:textId="77777777" w:rsidR="00D41F37" w:rsidRPr="00D41F37" w:rsidRDefault="00D41F37" w:rsidP="00D41F37">
      <w:pPr>
        <w:spacing w:after="160"/>
        <w:rPr>
          <w:sz w:val="24"/>
          <w:szCs w:val="24"/>
        </w:rPr>
      </w:pPr>
      <w:r w:rsidRPr="00D41F37">
        <w:rPr>
          <w:color w:val="000000"/>
          <w:sz w:val="24"/>
          <w:szCs w:val="24"/>
        </w:rPr>
        <w:t>Such an expansion of agency authority to permit discretionary termination of ongoing awards would put patients in clinical trials at risk; jeopardize the training and employment of students who are participating in the research; and undermine the stability of related subawards to small businesses, hospitals and community-based organizations, who are frequent collaborators and beneficiaries of these research projects. </w:t>
      </w:r>
    </w:p>
    <w:p w14:paraId="13C506C0" w14:textId="77777777" w:rsidR="00D41F37" w:rsidRPr="00D41F37" w:rsidRDefault="00D41F37" w:rsidP="00D41F37">
      <w:pPr>
        <w:spacing w:after="160"/>
        <w:rPr>
          <w:sz w:val="24"/>
          <w:szCs w:val="24"/>
        </w:rPr>
      </w:pPr>
      <w:r w:rsidRPr="00D41F37">
        <w:rPr>
          <w:color w:val="000000"/>
          <w:sz w:val="24"/>
          <w:szCs w:val="24"/>
        </w:rPr>
        <w:t>Furthermore, the scholarly record would be diminished by the absence of this work in the published literature. American taxpayers have invested in innovation, scientific advances, and knowledge production for decades through the federal funding apparatus. The expansion of discretionary termination would compromise their access to and the benefits of research that serves them and their communities.</w:t>
      </w:r>
    </w:p>
    <w:p w14:paraId="08A0B252" w14:textId="77777777" w:rsidR="00D41F37" w:rsidRPr="00D41F37" w:rsidRDefault="00D41F37" w:rsidP="00D41F37">
      <w:pPr>
        <w:spacing w:after="160"/>
        <w:rPr>
          <w:sz w:val="24"/>
          <w:szCs w:val="24"/>
        </w:rPr>
      </w:pPr>
      <w:r w:rsidRPr="00D41F37">
        <w:rPr>
          <w:color w:val="000000"/>
          <w:sz w:val="24"/>
          <w:szCs w:val="24"/>
        </w:rPr>
        <w:t xml:space="preserve">We urge OMB to withdraw the proposed revisions to </w:t>
      </w:r>
      <w:r w:rsidRPr="00D41F37">
        <w:rPr>
          <w:b/>
          <w:bCs/>
          <w:color w:val="000000"/>
          <w:sz w:val="24"/>
          <w:szCs w:val="24"/>
        </w:rPr>
        <w:t>§200.340</w:t>
      </w:r>
      <w:r w:rsidRPr="00D41F37">
        <w:rPr>
          <w:color w:val="000000"/>
          <w:sz w:val="24"/>
          <w:szCs w:val="24"/>
        </w:rPr>
        <w:t xml:space="preserve"> in their entirety and continue to rely on the existing, more appropriately scoped authority to terminate awards.</w:t>
      </w:r>
    </w:p>
    <w:p w14:paraId="17E59A9B" w14:textId="77777777" w:rsidR="00D41F37" w:rsidRPr="00D41F37" w:rsidRDefault="00D41F37" w:rsidP="00D41F37">
      <w:pPr>
        <w:spacing w:before="240" w:after="240"/>
        <w:rPr>
          <w:sz w:val="24"/>
          <w:szCs w:val="24"/>
        </w:rPr>
      </w:pPr>
      <w:r w:rsidRPr="00D41F37">
        <w:rPr>
          <w:b/>
          <w:bCs/>
          <w:color w:val="000000"/>
          <w:sz w:val="24"/>
          <w:szCs w:val="24"/>
        </w:rPr>
        <w:t>3. (§200.461) Removing funding for publication costs is incompatible with existing federal public access requirements.</w:t>
      </w:r>
    </w:p>
    <w:p w14:paraId="5E68E33B" w14:textId="77777777" w:rsidR="00D41F37" w:rsidRPr="00D41F37" w:rsidRDefault="00D41F37" w:rsidP="00D41F37">
      <w:pPr>
        <w:spacing w:before="240" w:after="240"/>
        <w:rPr>
          <w:sz w:val="24"/>
          <w:szCs w:val="24"/>
        </w:rPr>
      </w:pPr>
      <w:r w:rsidRPr="00D41F37">
        <w:rPr>
          <w:color w:val="000000"/>
          <w:sz w:val="24"/>
          <w:szCs w:val="24"/>
        </w:rPr>
        <w:t>As stated, the proposed rule would make publication costs and open access fees unallowable. </w:t>
      </w:r>
    </w:p>
    <w:p w14:paraId="78E22DBD" w14:textId="77777777" w:rsidR="00D41F37" w:rsidRPr="00D41F37" w:rsidRDefault="00D41F37" w:rsidP="00D41F37">
      <w:pPr>
        <w:spacing w:after="160"/>
        <w:rPr>
          <w:sz w:val="24"/>
          <w:szCs w:val="24"/>
        </w:rPr>
      </w:pPr>
      <w:r w:rsidRPr="00D41F37">
        <w:rPr>
          <w:color w:val="000000"/>
          <w:sz w:val="24"/>
          <w:szCs w:val="24"/>
        </w:rPr>
        <w:t>Agencies have mandated that grant recipients must make their publications openly available in designated repositories. Compliance with Federal award requirements has long been recognized as an allowable cost of administering and performing Federal awards. Treating the costs of meeting a Federal publication and dissemination requirement as unallowable departs from this longstanding principle by requiring recipients to absorb expenses incurred solely to satisfy a condition of the Federal award.</w:t>
      </w:r>
    </w:p>
    <w:p w14:paraId="1801ADAA" w14:textId="77777777" w:rsidR="00D41F37" w:rsidRPr="00D41F37" w:rsidRDefault="00D41F37" w:rsidP="00D41F37">
      <w:pPr>
        <w:spacing w:after="160"/>
        <w:rPr>
          <w:sz w:val="24"/>
          <w:szCs w:val="24"/>
        </w:rPr>
      </w:pPr>
      <w:r w:rsidRPr="00D41F37">
        <w:rPr>
          <w:color w:val="000000"/>
          <w:sz w:val="24"/>
          <w:szCs w:val="24"/>
        </w:rPr>
        <w:t xml:space="preserve">Additionally, </w:t>
      </w:r>
      <w:r w:rsidRPr="00D41F37">
        <w:rPr>
          <w:color w:val="000000"/>
          <w:sz w:val="24"/>
          <w:szCs w:val="24"/>
          <w:shd w:val="clear" w:color="auto" w:fill="FFFFFF"/>
        </w:rPr>
        <w:t>disallowing grant funds to pay article processing charges (APCs) could result in a return to subscription-based publishing models, which are specifically designed to restrict access to research articles except among those institutions and individuals who can afford the often costly subscription fees. Gold open access, which requires authors to pay an APC, enhances taxpayer access to versions of record and therefore amplifies the public impact of federally funded research. </w:t>
      </w:r>
    </w:p>
    <w:p w14:paraId="13700BEE" w14:textId="77777777" w:rsidR="00D41F37" w:rsidRPr="00D41F37" w:rsidRDefault="00D41F37" w:rsidP="00D41F37">
      <w:pPr>
        <w:spacing w:after="160"/>
        <w:rPr>
          <w:sz w:val="24"/>
          <w:szCs w:val="24"/>
        </w:rPr>
      </w:pPr>
      <w:r w:rsidRPr="00D41F37">
        <w:rPr>
          <w:color w:val="000000"/>
          <w:sz w:val="24"/>
          <w:szCs w:val="24"/>
        </w:rPr>
        <w:t xml:space="preserve">We urge OMB to strike the proposed changes to </w:t>
      </w:r>
      <w:r w:rsidRPr="00D41F37">
        <w:rPr>
          <w:b/>
          <w:bCs/>
          <w:color w:val="000000"/>
          <w:sz w:val="24"/>
          <w:szCs w:val="24"/>
        </w:rPr>
        <w:t>§200.461</w:t>
      </w:r>
      <w:r w:rsidRPr="00D41F37">
        <w:rPr>
          <w:color w:val="000000"/>
          <w:sz w:val="24"/>
          <w:szCs w:val="24"/>
        </w:rPr>
        <w:t xml:space="preserve"> and to continue to recognize publication and open-access costs as allowable.</w:t>
      </w:r>
    </w:p>
    <w:p w14:paraId="4C8673A4" w14:textId="77777777" w:rsidR="00D41F37" w:rsidRPr="00D41F37" w:rsidRDefault="00D41F37" w:rsidP="00D41F37">
      <w:pPr>
        <w:spacing w:before="240" w:after="240"/>
        <w:rPr>
          <w:sz w:val="24"/>
          <w:szCs w:val="24"/>
        </w:rPr>
      </w:pPr>
      <w:r w:rsidRPr="00D41F37">
        <w:rPr>
          <w:b/>
          <w:bCs/>
          <w:color w:val="000000"/>
          <w:sz w:val="24"/>
          <w:szCs w:val="24"/>
        </w:rPr>
        <w:t>4. (§200.432) Conference attendance is essential to the amplification of published research findings.</w:t>
      </w:r>
    </w:p>
    <w:p w14:paraId="5D0F2DAC" w14:textId="77777777" w:rsidR="00D41F37" w:rsidRPr="00D41F37" w:rsidRDefault="00D41F37" w:rsidP="00D41F37">
      <w:pPr>
        <w:spacing w:before="240" w:after="240"/>
        <w:rPr>
          <w:sz w:val="24"/>
          <w:szCs w:val="24"/>
        </w:rPr>
      </w:pPr>
      <w:r w:rsidRPr="00D41F37">
        <w:rPr>
          <w:color w:val="000000"/>
          <w:sz w:val="24"/>
          <w:szCs w:val="24"/>
        </w:rPr>
        <w:t xml:space="preserve">Scholarly conferences are essential venues for cross-institutional discussion of research findings in published works, magnifying the value of the research itself. The proposed provision requiring approval of conference attendance at the time of the award is impractical and inefficient: conferences change </w:t>
      </w:r>
      <w:r w:rsidRPr="00D41F37">
        <w:rPr>
          <w:color w:val="000000"/>
          <w:sz w:val="24"/>
          <w:szCs w:val="24"/>
        </w:rPr>
        <w:lastRenderedPageBreak/>
        <w:t>focus from year to year; new convenings of interest and importance emerge; acceptance of presentations is not guaranteed; and attendance by critical colleagues cannot be known in advance. Requiring researchers to speculate in advance about which conferences to attend, especially for awards spanning multiple years, risks their absence from some essential conversations and presence at events of lesser value, all of which is an inefficient use of taxpayer investment in research.</w:t>
      </w:r>
    </w:p>
    <w:p w14:paraId="2A580A2F" w14:textId="77777777" w:rsidR="00D41F37" w:rsidRPr="00D41F37" w:rsidRDefault="00D41F37" w:rsidP="00D41F37">
      <w:pPr>
        <w:spacing w:before="240" w:after="240"/>
        <w:rPr>
          <w:sz w:val="24"/>
          <w:szCs w:val="24"/>
        </w:rPr>
      </w:pPr>
      <w:r w:rsidRPr="00D41F37">
        <w:rPr>
          <w:color w:val="000000"/>
          <w:sz w:val="24"/>
          <w:szCs w:val="24"/>
        </w:rPr>
        <w:t xml:space="preserve">We urge OMB to strike its changes to </w:t>
      </w:r>
      <w:r w:rsidRPr="00D41F37">
        <w:rPr>
          <w:b/>
          <w:bCs/>
          <w:color w:val="000000"/>
          <w:sz w:val="24"/>
          <w:szCs w:val="24"/>
        </w:rPr>
        <w:t xml:space="preserve">§200.432 </w:t>
      </w:r>
      <w:r w:rsidRPr="00D41F37">
        <w:rPr>
          <w:color w:val="000000"/>
          <w:sz w:val="24"/>
          <w:szCs w:val="24"/>
        </w:rPr>
        <w:t>and</w:t>
      </w:r>
      <w:r w:rsidRPr="00D41F37">
        <w:rPr>
          <w:b/>
          <w:bCs/>
          <w:color w:val="000000"/>
          <w:sz w:val="24"/>
          <w:szCs w:val="24"/>
        </w:rPr>
        <w:t xml:space="preserve"> </w:t>
      </w:r>
      <w:r w:rsidRPr="00D41F37">
        <w:rPr>
          <w:color w:val="000000"/>
          <w:sz w:val="24"/>
          <w:szCs w:val="24"/>
        </w:rPr>
        <w:t>maintain the existing regulations regarding conference attendance.</w:t>
      </w:r>
    </w:p>
    <w:p w14:paraId="0E8B79BB" w14:textId="77777777" w:rsidR="00D41F37" w:rsidRPr="00D41F37" w:rsidRDefault="00D41F37" w:rsidP="00D41F37">
      <w:pPr>
        <w:spacing w:after="160"/>
        <w:rPr>
          <w:sz w:val="24"/>
          <w:szCs w:val="24"/>
        </w:rPr>
      </w:pPr>
      <w:r w:rsidRPr="00D41F37">
        <w:rPr>
          <w:b/>
          <w:bCs/>
          <w:color w:val="000000"/>
          <w:sz w:val="24"/>
          <w:szCs w:val="24"/>
        </w:rPr>
        <w:t>5. (§§ 200.300 and 200.218) Restricting participation, representation, and areas of inquiry diminishes the rigor and public benefit of the research enterprise.</w:t>
      </w:r>
    </w:p>
    <w:p w14:paraId="17C9A772" w14:textId="77777777" w:rsidR="00D41F37" w:rsidRPr="00D41F37" w:rsidRDefault="00D41F37" w:rsidP="00D41F37">
      <w:pPr>
        <w:spacing w:after="160"/>
        <w:rPr>
          <w:sz w:val="24"/>
          <w:szCs w:val="24"/>
        </w:rPr>
      </w:pPr>
      <w:r w:rsidRPr="00D41F37">
        <w:rPr>
          <w:color w:val="000000"/>
          <w:sz w:val="24"/>
          <w:szCs w:val="24"/>
        </w:rPr>
        <w:t>The goal of research across all disciplines is to advance human understanding of the world in all of its dimensions; federal funding of the research enterprise is undertaken to maximize these efforts on behalf of a vast and heterogeneous citizenry, with a multiplicity of backgrounds, interests, experiences, and needs. This national strategic ambition is best met with the broadest engagement of scholars and participants, exploring topics selected through rigorous assessment of the scientific merits of grant applications as determined by qualified peer reviewers, all resting on federal funding. </w:t>
      </w:r>
    </w:p>
    <w:p w14:paraId="2E296FD8" w14:textId="77777777" w:rsidR="00D41F37" w:rsidRPr="00D41F37" w:rsidRDefault="00D41F37" w:rsidP="00D41F37">
      <w:pPr>
        <w:spacing w:after="160"/>
        <w:rPr>
          <w:sz w:val="24"/>
          <w:szCs w:val="24"/>
        </w:rPr>
      </w:pPr>
      <w:r w:rsidRPr="00D41F37">
        <w:rPr>
          <w:color w:val="000000"/>
          <w:sz w:val="24"/>
          <w:szCs w:val="24"/>
        </w:rPr>
        <w:t>As an academic publisher with a broad portfolio that includes legal, practitioner, and public benefit oriented research, we are concerned that the OMB provisions disallowing use of funds for research related to the complexity of human identity (</w:t>
      </w:r>
      <w:r w:rsidRPr="00D41F37">
        <w:rPr>
          <w:b/>
          <w:bCs/>
          <w:color w:val="000000"/>
          <w:sz w:val="24"/>
          <w:szCs w:val="24"/>
        </w:rPr>
        <w:t>§ 200.300)</w:t>
      </w:r>
      <w:r w:rsidRPr="00D41F37">
        <w:rPr>
          <w:color w:val="000000"/>
          <w:sz w:val="24"/>
          <w:szCs w:val="24"/>
        </w:rPr>
        <w:t xml:space="preserve"> and differing experiences across individuals and groups in correlation with non-mutable characteristics (</w:t>
      </w:r>
      <w:r w:rsidRPr="00D41F37">
        <w:rPr>
          <w:b/>
          <w:bCs/>
          <w:color w:val="000000"/>
          <w:sz w:val="24"/>
          <w:szCs w:val="24"/>
        </w:rPr>
        <w:t>§ 200.218)</w:t>
      </w:r>
      <w:r w:rsidRPr="00D41F37">
        <w:rPr>
          <w:color w:val="000000"/>
          <w:sz w:val="24"/>
          <w:szCs w:val="24"/>
        </w:rPr>
        <w:t xml:space="preserve"> would generate significant public harm. Arbitrary restrictions on research projects could result in incomplete research findings and resultant risks to those sectors of the population who are not represented. </w:t>
      </w:r>
    </w:p>
    <w:p w14:paraId="06B48A7D" w14:textId="77777777" w:rsidR="00D41F37" w:rsidRPr="00D41F37" w:rsidRDefault="00D41F37" w:rsidP="00D41F37">
      <w:pPr>
        <w:spacing w:after="160"/>
        <w:rPr>
          <w:sz w:val="24"/>
          <w:szCs w:val="24"/>
        </w:rPr>
      </w:pPr>
      <w:r w:rsidRPr="00D41F37">
        <w:rPr>
          <w:color w:val="000000"/>
          <w:sz w:val="24"/>
          <w:szCs w:val="24"/>
        </w:rPr>
        <w:t xml:space="preserve">We urge OMB to remove its changes to </w:t>
      </w:r>
      <w:r w:rsidRPr="00D41F37">
        <w:rPr>
          <w:b/>
          <w:bCs/>
          <w:color w:val="000000"/>
          <w:sz w:val="24"/>
          <w:szCs w:val="24"/>
        </w:rPr>
        <w:t>§200.300</w:t>
      </w:r>
      <w:r w:rsidRPr="00D41F37">
        <w:rPr>
          <w:color w:val="000000"/>
          <w:sz w:val="24"/>
          <w:szCs w:val="24"/>
        </w:rPr>
        <w:t xml:space="preserve"> and withdraw its proposed language at </w:t>
      </w:r>
      <w:r w:rsidRPr="00D41F37">
        <w:rPr>
          <w:b/>
          <w:bCs/>
          <w:color w:val="000000"/>
          <w:sz w:val="24"/>
          <w:szCs w:val="24"/>
        </w:rPr>
        <w:t>§200.218</w:t>
      </w:r>
      <w:r w:rsidRPr="00D41F37">
        <w:rPr>
          <w:color w:val="000000"/>
          <w:sz w:val="24"/>
          <w:szCs w:val="24"/>
        </w:rPr>
        <w:t xml:space="preserve"> to ensure that federally-supported research is not artificially restricted and narrowed to the detriment of American citizens.</w:t>
      </w:r>
    </w:p>
    <w:p w14:paraId="573188CB" w14:textId="77777777" w:rsidR="00D41F37" w:rsidRPr="00D41F37" w:rsidRDefault="00D41F37" w:rsidP="00D41F37">
      <w:pPr>
        <w:spacing w:before="240" w:after="240"/>
        <w:rPr>
          <w:sz w:val="24"/>
          <w:szCs w:val="24"/>
        </w:rPr>
      </w:pPr>
      <w:r w:rsidRPr="00D41F37">
        <w:rPr>
          <w:b/>
          <w:bCs/>
          <w:color w:val="000000"/>
          <w:sz w:val="24"/>
          <w:szCs w:val="24"/>
        </w:rPr>
        <w:t>Conclusion</w:t>
      </w:r>
    </w:p>
    <w:p w14:paraId="2259B41B" w14:textId="77777777" w:rsidR="00D41F37" w:rsidRPr="00D41F37" w:rsidRDefault="00D41F37" w:rsidP="00D41F37">
      <w:pPr>
        <w:rPr>
          <w:sz w:val="24"/>
          <w:szCs w:val="24"/>
        </w:rPr>
      </w:pPr>
      <w:r w:rsidRPr="00D41F37">
        <w:rPr>
          <w:color w:val="000000"/>
          <w:sz w:val="24"/>
          <w:szCs w:val="24"/>
        </w:rPr>
        <w:t xml:space="preserve">We submit these comments in support of the federal research enterprise, one of the nation’s most successful public investments and a driver of American leadership. Since the 1970s, this model has strengthened national security, enabled lifesaving medical discoveries, fueled technological innovation, and driven economic growth. </w:t>
      </w:r>
      <w:r w:rsidRPr="00D41F37">
        <w:rPr>
          <w:b/>
          <w:bCs/>
          <w:color w:val="000000"/>
          <w:sz w:val="24"/>
          <w:szCs w:val="24"/>
        </w:rPr>
        <w:t>And it has achieved these extraordinary aims through a simple but essential principle: the notion that</w:t>
      </w:r>
      <w:r w:rsidRPr="00D41F37">
        <w:rPr>
          <w:color w:val="000000"/>
          <w:sz w:val="24"/>
          <w:szCs w:val="24"/>
        </w:rPr>
        <w:t xml:space="preserve"> </w:t>
      </w:r>
      <w:r w:rsidRPr="00D41F37">
        <w:rPr>
          <w:b/>
          <w:bCs/>
          <w:color w:val="000000"/>
          <w:sz w:val="24"/>
          <w:szCs w:val="24"/>
        </w:rPr>
        <w:t>funding decisions should be guided by scientific merit, expert review, and a long-term commitment to advancing knowledge and solving societal challenges.</w:t>
      </w:r>
    </w:p>
    <w:p w14:paraId="6E3D9222" w14:textId="43A63D75" w:rsidR="00D41F37" w:rsidRPr="00D41F37" w:rsidRDefault="00D41F37" w:rsidP="00DF68A1">
      <w:pPr>
        <w:spacing w:before="240" w:after="240"/>
        <w:rPr>
          <w:sz w:val="24"/>
          <w:szCs w:val="24"/>
        </w:rPr>
      </w:pPr>
      <w:r w:rsidRPr="00D41F37">
        <w:rPr>
          <w:color w:val="000000"/>
          <w:sz w:val="24"/>
          <w:szCs w:val="24"/>
        </w:rPr>
        <w:t xml:space="preserve">The U.S. currently accounts for 15% of the global scholarly publishing output, second only to China. 70% of U.S. research publications come from federally funded research projects. The proposed OMB rule will have a chilling effect on both the research and the publications that American scientists can produce, gradually diminishing their standing and our country’s leadership in the world. As an open access publishing program situated within the University of California, eScholarship Publishing has a deep commitment to supporting federal public access mandates and ensuring the broad visibility of the research that means the most to our constituents in California and beyond. This rule will undermine both the federal research enterprise and public trust in the information it generates.  eScholarship Publishing urges OMB not to finalize the rule as proposed and, at a minimum, to strike the proposed changes to </w:t>
      </w:r>
      <w:r w:rsidRPr="00D41F37">
        <w:rPr>
          <w:b/>
          <w:bCs/>
          <w:color w:val="000000"/>
          <w:sz w:val="24"/>
          <w:szCs w:val="24"/>
        </w:rPr>
        <w:t>§§ 200.205, 200.218, 200.300, 200.340, 200.432, and 200.461</w:t>
      </w:r>
      <w:r w:rsidRPr="00D41F37">
        <w:rPr>
          <w:color w:val="000000"/>
          <w:sz w:val="24"/>
          <w:szCs w:val="24"/>
        </w:rPr>
        <w:t>. </w:t>
      </w:r>
    </w:p>
    <w:p w14:paraId="4D1E1934" w14:textId="77777777" w:rsidR="00D41F37" w:rsidRPr="00D41F37" w:rsidRDefault="00D41F37" w:rsidP="00D41F37">
      <w:pPr>
        <w:rPr>
          <w:sz w:val="24"/>
          <w:szCs w:val="24"/>
        </w:rPr>
      </w:pPr>
    </w:p>
    <w:p w14:paraId="1F0BA4F4" w14:textId="77777777" w:rsidR="00A43FB0" w:rsidRPr="00D41F37" w:rsidRDefault="00A43FB0">
      <w:pPr>
        <w:ind w:left="270" w:right="2"/>
      </w:pPr>
    </w:p>
    <w:sectPr w:rsidR="00A43FB0" w:rsidRPr="00D41F37">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2" w:h="15842" w:code="1"/>
      <w:pgMar w:top="1152" w:right="1080" w:bottom="360" w:left="1080" w:header="792"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FE5D4F3" w14:textId="77777777" w:rsidR="0003425D" w:rsidRDefault="0003425D">
      <w:r>
        <w:separator/>
      </w:r>
    </w:p>
  </w:endnote>
  <w:endnote w:type="continuationSeparator" w:id="0">
    <w:p w14:paraId="1E29798D" w14:textId="77777777" w:rsidR="0003425D" w:rsidRDefault="0003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CSeal">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D7BAE5" w14:textId="77777777" w:rsidR="001E6ECE" w:rsidRDefault="001E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631A53" w14:textId="77777777" w:rsidR="001E6ECE" w:rsidRDefault="001E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23C4BB" w14:textId="77777777" w:rsidR="00A43FB0" w:rsidRDefault="00A43F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F9990A" w14:textId="77777777" w:rsidR="0003425D" w:rsidRDefault="0003425D">
      <w:r>
        <w:separator/>
      </w:r>
    </w:p>
  </w:footnote>
  <w:footnote w:type="continuationSeparator" w:id="0">
    <w:p w14:paraId="70A752CA" w14:textId="77777777" w:rsidR="0003425D" w:rsidRDefault="00034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28D126" w14:textId="77777777" w:rsidR="001E6ECE" w:rsidRDefault="001E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1DA0BC" w14:textId="77777777" w:rsidR="00A43FB0" w:rsidRDefault="00A43FB0">
    <w:pPr>
      <w:pStyle w:val="Header"/>
    </w:pPr>
  </w:p>
  <w:p w14:paraId="25AC2D8E" w14:textId="77777777" w:rsidR="00A43FB0" w:rsidRDefault="00A43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7E4888" w14:textId="77777777" w:rsidR="00A43FB0" w:rsidRDefault="00A43FB0">
    <w:pPr>
      <w:framePr w:w="1449" w:h="1723" w:hSpace="180" w:wrap="auto" w:vAnchor="text" w:hAnchor="page" w:x="7777" w:y="73"/>
      <w:ind w:left="-180"/>
    </w:pPr>
  </w:p>
  <w:p w14:paraId="69B1565B" w14:textId="77777777" w:rsidR="00A43FB0" w:rsidRDefault="0003425D">
    <w:pPr>
      <w:framePr w:w="1449" w:h="1723" w:hSpace="180" w:wrap="auto" w:vAnchor="text" w:hAnchor="page" w:x="7777" w:y="73"/>
    </w:pPr>
    <w:r>
      <w:rPr>
        <w:noProof/>
        <w:sz w:val="20"/>
      </w:rPr>
      <w:object w:dxaOrig="1296" w:dyaOrig="1328" w14:anchorId="26CCC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64.8pt;height:66.4pt;mso-width-percent:0;mso-height-percent:0;mso-width-percent:0;mso-height-percent:0" fillcolor="window">
          <v:imagedata r:id="rId1" o:title=""/>
        </v:shape>
        <o:OLEObject Type="Embed" ProgID="Word.Picture.8" ShapeID="_x0000_i1027" DrawAspect="Content" ObjectID="_1844494830" r:id="rId2"/>
      </w:object>
    </w:r>
  </w:p>
  <w:p w14:paraId="534ACFCD" w14:textId="77777777" w:rsidR="00A43FB0" w:rsidRDefault="00A43FB0">
    <w:pPr>
      <w:pStyle w:val="Caption"/>
    </w:pPr>
    <w:r>
      <w:t>UNIVERSITY OF CALIFORNIA</w:t>
    </w:r>
  </w:p>
  <w:p w14:paraId="7812D724" w14:textId="77777777" w:rsidR="00A43FB0" w:rsidRDefault="00A43FB0">
    <w:r>
      <w:rPr>
        <w:sz w:val="8"/>
      </w:rPr>
      <w:t xml:space="preserve"> </w:t>
    </w:r>
  </w:p>
  <w:bookmarkStart w:id="2" w:name="_MON_1003215465"/>
  <w:bookmarkStart w:id="3" w:name="_MON_1003215482"/>
  <w:bookmarkStart w:id="4" w:name="_MON_1003215496"/>
  <w:bookmarkStart w:id="5" w:name="_MON_1154262297"/>
  <w:bookmarkStart w:id="6" w:name="_MON_1001406172"/>
  <w:bookmarkEnd w:id="2"/>
  <w:bookmarkEnd w:id="3"/>
  <w:bookmarkEnd w:id="4"/>
  <w:bookmarkEnd w:id="5"/>
  <w:bookmarkEnd w:id="6"/>
  <w:bookmarkStart w:id="7" w:name="_MON_1003215394"/>
  <w:bookmarkEnd w:id="7"/>
  <w:p w14:paraId="05D480F5" w14:textId="77777777" w:rsidR="00A43FB0" w:rsidRDefault="0003425D">
    <w:pPr>
      <w:framePr w:hSpace="180" w:wrap="auto" w:vAnchor="text" w:hAnchor="page" w:x="1005" w:y="97"/>
    </w:pPr>
    <w:r>
      <w:rPr>
        <w:noProof/>
        <w:sz w:val="20"/>
      </w:rPr>
      <w:object w:dxaOrig="6624" w:dyaOrig="656" w14:anchorId="7EE63302">
        <v:shape id="_x0000_i1026" type="#_x0000_t75" alt="" style="width:331.2pt;height:32.8pt;mso-width-percent:0;mso-height-percent:0;mso-width-percent:0;mso-height-percent:0" fillcolor="window">
          <v:imagedata r:id="rId3" o:title=""/>
        </v:shape>
        <o:OLEObject Type="Embed" ProgID="Word.Picture.8" ShapeID="_x0000_i1026" DrawAspect="Content" ObjectID="_1844494831" r:id="rId4"/>
      </w:object>
    </w:r>
  </w:p>
  <w:bookmarkStart w:id="8" w:name="_MON_1001406400"/>
  <w:bookmarkEnd w:id="8"/>
  <w:p w14:paraId="4463FAAA" w14:textId="77777777" w:rsidR="00A43FB0" w:rsidRDefault="0003425D">
    <w:pPr>
      <w:framePr w:hSpace="180" w:wrap="auto" w:vAnchor="text" w:hAnchor="page" w:x="9213" w:y="97"/>
    </w:pPr>
    <w:r>
      <w:rPr>
        <w:rFonts w:ascii="UCSeal" w:hAnsi="UCSeal"/>
        <w:noProof/>
        <w:sz w:val="20"/>
      </w:rPr>
      <w:object w:dxaOrig="2256" w:dyaOrig="656" w14:anchorId="71BDA5C5">
        <v:shape id="_x0000_i1025" type="#_x0000_t75" alt="" style="width:112.8pt;height:32.8pt;mso-width-percent:0;mso-height-percent:0;mso-width-percent:0;mso-height-percent:0" fillcolor="window">
          <v:imagedata r:id="rId5" o:title=""/>
        </v:shape>
        <o:OLEObject Type="Embed" ProgID="Word.Picture.8" ShapeID="_x0000_i1025" DrawAspect="Content" ObjectID="_1844494832" r:id="rId6"/>
      </w:object>
    </w:r>
  </w:p>
  <w:p w14:paraId="4A94266C" w14:textId="77777777" w:rsidR="00A43FB0" w:rsidRDefault="00A43FB0"/>
  <w:p w14:paraId="3092CED5" w14:textId="77777777" w:rsidR="00A43FB0" w:rsidRDefault="00A43FB0"/>
  <w:p w14:paraId="0B1593CE" w14:textId="77777777" w:rsidR="00A43FB0" w:rsidRDefault="00A43FB0">
    <w:pPr>
      <w:tabs>
        <w:tab w:val="left" w:pos="6660"/>
        <w:tab w:val="left" w:pos="10259"/>
      </w:tabs>
      <w:ind w:left="40"/>
      <w:rPr>
        <w:sz w:val="16"/>
      </w:rPr>
    </w:pPr>
  </w:p>
  <w:p w14:paraId="55D3F1D1" w14:textId="77777777" w:rsidR="00A43FB0" w:rsidRDefault="00A43FB0">
    <w:pPr>
      <w:tabs>
        <w:tab w:val="left" w:pos="6660"/>
        <w:tab w:val="left" w:pos="10259"/>
      </w:tabs>
      <w:ind w:left="40"/>
      <w:rPr>
        <w:sz w:val="16"/>
      </w:rPr>
    </w:pPr>
  </w:p>
  <w:p w14:paraId="3EF0D0AB" w14:textId="77777777" w:rsidR="00A43FB0" w:rsidRDefault="00A43FB0">
    <w:pPr>
      <w:tabs>
        <w:tab w:val="left" w:pos="6660"/>
        <w:tab w:val="left" w:pos="10259"/>
      </w:tabs>
      <w:ind w:left="40"/>
      <w:rPr>
        <w:sz w:val="16"/>
      </w:rPr>
    </w:pPr>
  </w:p>
  <w:p w14:paraId="3781FF9F" w14:textId="77777777" w:rsidR="00A43FB0" w:rsidRDefault="00A43FB0">
    <w:pPr>
      <w:tabs>
        <w:tab w:val="left" w:pos="6660"/>
        <w:tab w:val="left" w:pos="10259"/>
      </w:tabs>
      <w:ind w:left="40"/>
      <w:rPr>
        <w:sz w:val="16"/>
      </w:rPr>
    </w:pPr>
  </w:p>
  <w:p w14:paraId="113845E4" w14:textId="4CD189E0" w:rsidR="00A43FB0" w:rsidRDefault="00A43FB0">
    <w:pPr>
      <w:tabs>
        <w:tab w:val="left" w:pos="6840"/>
        <w:tab w:val="left" w:pos="10259"/>
      </w:tabs>
      <w:ind w:left="40"/>
      <w:rPr>
        <w:sz w:val="16"/>
      </w:rPr>
    </w:pPr>
    <w:r>
      <w:rPr>
        <w:sz w:val="16"/>
      </w:rPr>
      <w:t>OFFICE OF THE PRESIDENT</w:t>
    </w:r>
    <w:r>
      <w:rPr>
        <w:sz w:val="16"/>
      </w:rPr>
      <w:tab/>
    </w:r>
    <w:r w:rsidR="001E6ECE" w:rsidRPr="001E6ECE">
      <w:rPr>
        <w:sz w:val="16"/>
      </w:rPr>
      <w:t>1111 Franklin St</w:t>
    </w:r>
    <w:r w:rsidR="008A64A1">
      <w:rPr>
        <w:sz w:val="16"/>
      </w:rPr>
      <w:t>reet</w:t>
    </w:r>
    <w:r w:rsidR="001E6ECE" w:rsidRPr="001E6ECE">
      <w:rPr>
        <w:sz w:val="16"/>
      </w:rPr>
      <w:t xml:space="preserve"> </w:t>
    </w:r>
  </w:p>
  <w:p w14:paraId="36DDE81D" w14:textId="03B2A820" w:rsidR="00A43FB0" w:rsidRDefault="00A43FB0">
    <w:pPr>
      <w:tabs>
        <w:tab w:val="left" w:pos="6840"/>
        <w:tab w:val="left" w:pos="10259"/>
      </w:tabs>
      <w:ind w:left="40"/>
      <w:rPr>
        <w:sz w:val="16"/>
      </w:rPr>
    </w:pPr>
    <w:r>
      <w:rPr>
        <w:sz w:val="16"/>
      </w:rPr>
      <w:t>California Digital Library</w:t>
    </w:r>
    <w:r>
      <w:rPr>
        <w:sz w:val="16"/>
      </w:rPr>
      <w:tab/>
      <w:t xml:space="preserve">Oakland, California </w:t>
    </w:r>
    <w:r w:rsidR="001E6ECE" w:rsidRPr="001E6ECE">
      <w:rPr>
        <w:sz w:val="16"/>
      </w:rPr>
      <w:t>94607</w:t>
    </w:r>
  </w:p>
  <w:p w14:paraId="7A1E616B" w14:textId="77777777" w:rsidR="00A43FB0" w:rsidRDefault="00A43FB0">
    <w:pPr>
      <w:tabs>
        <w:tab w:val="left" w:pos="6840"/>
        <w:tab w:val="left" w:pos="10259"/>
      </w:tabs>
      <w:ind w:left="40"/>
    </w:pP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72082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0DE1156"/>
    <w:multiLevelType w:val="singleLevel"/>
    <w:tmpl w:val="6D76E5DC"/>
    <w:lvl w:ilvl="0">
      <w:start w:val="1"/>
      <w:numFmt w:val="decimal"/>
      <w:lvlText w:val="%1)"/>
      <w:lvlJc w:val="left"/>
      <w:pPr>
        <w:tabs>
          <w:tab w:val="num" w:pos="720"/>
        </w:tabs>
        <w:ind w:left="720" w:hanging="360"/>
      </w:pPr>
      <w:rPr>
        <w:rFonts w:hint="default"/>
      </w:rPr>
    </w:lvl>
  </w:abstractNum>
  <w:abstractNum w:abstractNumId="2" w15:restartNumberingAfterBreak="0">
    <w:nsid w:val="23D84B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88F361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D9B5FA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F1E175D"/>
    <w:multiLevelType w:val="multilevel"/>
    <w:tmpl w:val="F494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627316">
    <w:abstractNumId w:val="1"/>
  </w:num>
  <w:num w:numId="2" w16cid:durableId="2018457509">
    <w:abstractNumId w:val="2"/>
  </w:num>
  <w:num w:numId="3" w16cid:durableId="107090109">
    <w:abstractNumId w:val="4"/>
  </w:num>
  <w:num w:numId="4" w16cid:durableId="1691951985">
    <w:abstractNumId w:val="3"/>
  </w:num>
  <w:num w:numId="5" w16cid:durableId="1559435104">
    <w:abstractNumId w:val="0"/>
  </w:num>
  <w:num w:numId="6" w16cid:durableId="214435597">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CE"/>
    <w:rsid w:val="0003425D"/>
    <w:rsid w:val="001E6ECE"/>
    <w:rsid w:val="00222992"/>
    <w:rsid w:val="0024795D"/>
    <w:rsid w:val="005E74A9"/>
    <w:rsid w:val="005F5DC9"/>
    <w:rsid w:val="006638E7"/>
    <w:rsid w:val="0071210C"/>
    <w:rsid w:val="008A64A1"/>
    <w:rsid w:val="009F3F45"/>
    <w:rsid w:val="00A43FB0"/>
    <w:rsid w:val="00BA498D"/>
    <w:rsid w:val="00C25D14"/>
    <w:rsid w:val="00D15E34"/>
    <w:rsid w:val="00D41F37"/>
    <w:rsid w:val="00DF68A1"/>
    <w:rsid w:val="00E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ACB39"/>
  <w15:chartTrackingRefBased/>
  <w15:docId w15:val="{54B7FB1F-2558-4F28-B817-DB680964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paragraph">
    <w:name w:val="normal paragraph"/>
    <w:aliases w:val="np"/>
    <w:basedOn w:val="Normal"/>
    <w:pPr>
      <w:tabs>
        <w:tab w:val="left" w:pos="720"/>
        <w:tab w:val="left" w:pos="1440"/>
        <w:tab w:val="left" w:pos="2160"/>
      </w:tabs>
    </w:pPr>
  </w:style>
  <w:style w:type="paragraph" w:styleId="Caption">
    <w:name w:val="caption"/>
    <w:basedOn w:val="Normal"/>
    <w:next w:val="Normal"/>
    <w:qFormat/>
    <w:pPr>
      <w:ind w:left="180"/>
    </w:pPr>
    <w:rPr>
      <w:spacing w:val="60"/>
      <w:sz w:val="26"/>
    </w:rPr>
  </w:style>
  <w:style w:type="paragraph" w:customStyle="1" w:styleId="HTMLBody">
    <w:name w:val="HTML Body"/>
    <w:rPr>
      <w:rFonts w:ascii="Comic Sans MS" w:hAnsi="Comic Sans MS"/>
      <w:snapToGrid w:val="0"/>
    </w:rPr>
  </w:style>
  <w:style w:type="paragraph" w:styleId="BodyText">
    <w:name w:val="Body Text"/>
    <w:basedOn w:val="Normal"/>
    <w:rPr>
      <w:sz w:val="24"/>
    </w:rPr>
  </w:style>
  <w:style w:type="character" w:styleId="Hyperlink">
    <w:name w:val="Hyperlink"/>
    <w:basedOn w:val="DefaultParagraphFont"/>
    <w:rPr>
      <w:color w:val="0000FF"/>
      <w:u w:val="single"/>
    </w:rPr>
  </w:style>
  <w:style w:type="paragraph" w:styleId="BlockText">
    <w:name w:val="Block Text"/>
    <w:basedOn w:val="Normal"/>
    <w:pPr>
      <w:ind w:left="360" w:right="722"/>
    </w:pPr>
  </w:style>
  <w:style w:type="paragraph" w:styleId="BodyText2">
    <w:name w:val="Body Text 2"/>
    <w:basedOn w:val="Normal"/>
    <w:rPr>
      <w:b/>
      <w:bCs/>
      <w:sz w:val="24"/>
      <w:szCs w:val="24"/>
    </w:rPr>
  </w:style>
  <w:style w:type="paragraph" w:styleId="NormalWeb">
    <w:name w:val="Normal (Web)"/>
    <w:basedOn w:val="Normal"/>
    <w:uiPriority w:val="99"/>
    <w:unhideWhenUsed/>
    <w:rsid w:val="00D41F3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6" Type="http://schemas.openxmlformats.org/officeDocument/2006/relationships/oleObject" Target="embeddings/oleObject3.bin"/><Relationship Id="rId5" Type="http://schemas.openxmlformats.org/officeDocument/2006/relationships/image" Target="media/image3.wmf"/><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urcell\Downloads\UCOP%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C:\Users\mpurcell\Downloads\UCOP Letterhead.dot</Template>
  <TotalTime>15</TotalTime>
  <Pages>1</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UC Office of the SVP B&amp;F</vt:lpstr>
    </vt:vector>
  </TitlesOfParts>
  <Company>Student Academic Services, UCOP</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Office of the SVP B&amp;F</dc:title>
  <dc:subject/>
  <dc:creator>mpurcell</dc:creator>
  <cp:keywords/>
  <dc:description/>
  <cp:lastModifiedBy>Catherine Mitchell</cp:lastModifiedBy>
  <cp:revision>4</cp:revision>
  <cp:lastPrinted>2003-03-26T20:14:00Z</cp:lastPrinted>
  <dcterms:created xsi:type="dcterms:W3CDTF">2026-07-01T18:32:00Z</dcterms:created>
  <dcterms:modified xsi:type="dcterms:W3CDTF">2026-07-02T17:54:00Z</dcterms:modified>
</cp:coreProperties>
</file>